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EC" w:rsidRDefault="00193D6C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743585" cy="89598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5EC" w:rsidRDefault="00193D6C">
      <w:pPr>
        <w:tabs>
          <w:tab w:val="left" w:pos="3240"/>
        </w:tabs>
        <w:ind w:right="40" w:hanging="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КРАСНОЯРСКИЙ КРАЙ</w:t>
      </w:r>
    </w:p>
    <w:p w:rsidR="00D075EC" w:rsidRDefault="00193D6C">
      <w:pPr>
        <w:tabs>
          <w:tab w:val="left" w:pos="3240"/>
        </w:tabs>
        <w:ind w:right="40" w:hanging="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РЫБИНСКИЙ МУНИЦИПАЛЬНЫЙ ОКРУГ КРАСНОЯРСКОГО КРАЯ</w:t>
      </w:r>
    </w:p>
    <w:p w:rsidR="00D075EC" w:rsidRDefault="00193D6C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БОРОДИНО</w:t>
      </w:r>
    </w:p>
    <w:p w:rsidR="00D075EC" w:rsidRDefault="00D075EC">
      <w:pPr>
        <w:shd w:val="clear" w:color="auto" w:fill="FFFFFF"/>
        <w:jc w:val="center"/>
        <w:rPr>
          <w:b/>
          <w:sz w:val="26"/>
          <w:szCs w:val="26"/>
        </w:rPr>
      </w:pPr>
    </w:p>
    <w:p w:rsidR="00D075EC" w:rsidRDefault="00193D6C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075EC" w:rsidRDefault="00D075EC">
      <w:pPr>
        <w:shd w:val="clear" w:color="auto" w:fill="FFFFFF"/>
        <w:jc w:val="center"/>
        <w:rPr>
          <w:rFonts w:ascii="Arial" w:hAnsi="Arial" w:cs="Arial"/>
        </w:rPr>
      </w:pPr>
    </w:p>
    <w:p w:rsidR="00D075EC" w:rsidRDefault="00193D6C">
      <w:pPr>
        <w:shd w:val="clear" w:color="auto" w:fill="FFFFFF"/>
        <w:tabs>
          <w:tab w:val="left" w:pos="4253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г. Бородино</w:t>
      </w:r>
    </w:p>
    <w:p w:rsidR="00D075EC" w:rsidRDefault="00193D6C">
      <w:pPr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68DA7FEE" wp14:editId="216ABA7C">
            <wp:simplePos x="0" y="0"/>
            <wp:positionH relativeFrom="character">
              <wp:posOffset>2402205</wp:posOffset>
            </wp:positionH>
            <wp:positionV relativeFrom="line">
              <wp:posOffset>133350</wp:posOffset>
            </wp:positionV>
            <wp:extent cx="2555240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5EC" w:rsidRDefault="00D075EC"/>
    <w:p w:rsidR="00D075EC" w:rsidRDefault="00193D6C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</w:t>
      </w:r>
    </w:p>
    <w:p w:rsidR="00D075EC" w:rsidRDefault="00D075EC"/>
    <w:p w:rsidR="00D075EC" w:rsidRDefault="00193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по проекту решения Рыбинского окружного Совета депутатов «О бюджете Рыбинского </w:t>
      </w:r>
      <w:r>
        <w:rPr>
          <w:sz w:val="28"/>
          <w:szCs w:val="28"/>
        </w:rPr>
        <w:t>муниципального округа Красноярского края на 2026 год и плановый период 2027-2028 годов»</w:t>
      </w:r>
    </w:p>
    <w:p w:rsidR="00D075EC" w:rsidRDefault="00D075EC">
      <w:pPr>
        <w:jc w:val="both"/>
        <w:rPr>
          <w:sz w:val="28"/>
          <w:szCs w:val="28"/>
        </w:rPr>
      </w:pP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eastAsia="ru-RU"/>
        </w:rPr>
        <w:t>В соответствии с</w:t>
      </w:r>
      <w:r>
        <w:rPr>
          <w:sz w:val="28"/>
          <w:szCs w:val="28"/>
        </w:rPr>
        <w:t xml:space="preserve"> Бюджетным кодексом Российской Федерации, ст. 47 </w:t>
      </w:r>
      <w:r>
        <w:rPr>
          <w:sz w:val="28"/>
          <w:szCs w:val="28"/>
          <w:lang w:eastAsia="ru-RU"/>
        </w:rPr>
        <w:t>Федерального закона от 20.03.2025 № 33 ФЗ «Об общих принципах организации местного самоуправления в е</w:t>
      </w:r>
      <w:r>
        <w:rPr>
          <w:sz w:val="28"/>
          <w:szCs w:val="28"/>
          <w:lang w:eastAsia="ru-RU"/>
        </w:rPr>
        <w:t xml:space="preserve">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крае», </w:t>
      </w:r>
      <w:r>
        <w:rPr>
          <w:sz w:val="28"/>
          <w:szCs w:val="28"/>
        </w:rPr>
        <w:t xml:space="preserve">руководствуясь Положением об организации  и проведении  публичных  слушаний в </w:t>
      </w:r>
      <w:r>
        <w:rPr>
          <w:iCs/>
          <w:sz w:val="28"/>
          <w:szCs w:val="28"/>
        </w:rPr>
        <w:t>Рыбинском муниципа</w:t>
      </w:r>
      <w:r>
        <w:rPr>
          <w:iCs/>
          <w:sz w:val="28"/>
          <w:szCs w:val="28"/>
        </w:rPr>
        <w:t>льном округе Красноярского края</w:t>
      </w:r>
      <w:r>
        <w:rPr>
          <w:sz w:val="28"/>
          <w:szCs w:val="28"/>
        </w:rPr>
        <w:t>, утвержденным решением Рыбинского  окружного  Совета депутатов</w:t>
      </w:r>
      <w:proofErr w:type="gramEnd"/>
      <w:r>
        <w:rPr>
          <w:sz w:val="28"/>
          <w:szCs w:val="28"/>
        </w:rPr>
        <w:t xml:space="preserve">  от 06.10.2025  № 1-7р «Об утверждении Положения об организации и проведении публичных слушаний в </w:t>
      </w:r>
      <w:r>
        <w:rPr>
          <w:iCs/>
          <w:sz w:val="28"/>
          <w:szCs w:val="28"/>
        </w:rPr>
        <w:t>Рыбинском муниципальном округе Красноярского края»</w:t>
      </w:r>
      <w:r>
        <w:rPr>
          <w:sz w:val="28"/>
          <w:szCs w:val="28"/>
        </w:rPr>
        <w:t>, ПОСТАНОВЛЯЮ</w:t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    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решения Рыбинского окружного Совета депутатов «О бюджете Рыбинского муниципального округа Красноярского края на 2</w:t>
      </w:r>
      <w:r>
        <w:rPr>
          <w:sz w:val="28"/>
          <w:szCs w:val="28"/>
        </w:rPr>
        <w:t xml:space="preserve">026 год и плановый период 2027-2028 годов» (далее – проект решения) на 09 декабря 2025 года на 10-00 час. </w:t>
      </w:r>
    </w:p>
    <w:p w:rsidR="00D075EC" w:rsidRDefault="00193D6C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место проведения публичных слушаний: г. Бородино, ул. Горького, 5, актовый зал. 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  Создать комиссию по проведению публичных слушани</w:t>
      </w:r>
      <w:r>
        <w:rPr>
          <w:sz w:val="28"/>
          <w:szCs w:val="28"/>
        </w:rPr>
        <w:t>й по проекту решения (далее комиссия) согласно приложению 1 к настоящему постановлению.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Комиссии: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перечень вопросов, выносимых на обсуждение по теме публичных слушаний;  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5 дней со дня опубликования настоящего постановления </w:t>
      </w:r>
      <w:r>
        <w:rPr>
          <w:sz w:val="28"/>
          <w:szCs w:val="28"/>
        </w:rPr>
        <w:t>составить план работы, распределить обязанности между членами комиссии и составить перечень задач, подлежащих решению при подготовке и проведении публичных слушаний;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прием письменных предложений по проекту решения;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опубликовать порядок </w:t>
      </w:r>
      <w:r>
        <w:rPr>
          <w:sz w:val="28"/>
          <w:szCs w:val="28"/>
        </w:rPr>
        <w:t>учета предложений и участия граждан в обсуждении проекта решения (приложение 2);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Письменные предложения жителей Рыбинского муниципального округа Красноярского края по проекту решения принимаются до 08 декабря 2025 года по адресу: 663981, г. Бородино, ул</w:t>
      </w:r>
      <w:r>
        <w:rPr>
          <w:sz w:val="28"/>
          <w:szCs w:val="28"/>
        </w:rPr>
        <w:t>. Горького, 6, Финансовое управление администрации города Бородино, электронный адрес</w:t>
      </w:r>
      <w:r>
        <w:t xml:space="preserve"> </w:t>
      </w:r>
      <w:hyperlink r:id="rId8">
        <w:r>
          <w:rPr>
            <w:rStyle w:val="a3"/>
            <w:sz w:val="28"/>
            <w:szCs w:val="28"/>
          </w:rPr>
          <w:t>bgfo-bud.rf45@yandex.ru</w:t>
        </w:r>
      </w:hyperlink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Назначить </w:t>
      </w:r>
      <w:proofErr w:type="spellStart"/>
      <w:r>
        <w:rPr>
          <w:sz w:val="28"/>
          <w:szCs w:val="28"/>
        </w:rPr>
        <w:t>Маркелис</w:t>
      </w:r>
      <w:proofErr w:type="spellEnd"/>
      <w:r>
        <w:rPr>
          <w:sz w:val="28"/>
          <w:szCs w:val="28"/>
        </w:rPr>
        <w:t xml:space="preserve"> Н.В., главного специалиста по основной деятельности отдела планирования и </w:t>
      </w:r>
      <w:r>
        <w:rPr>
          <w:sz w:val="28"/>
          <w:szCs w:val="28"/>
        </w:rPr>
        <w:t>экономического развития администрации города Бородино, ответственной за организацию и материально-техническое обеспечение работы комиссии.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руководителя Финансового управления администрации города Бороди</w:t>
      </w:r>
      <w:r>
        <w:rPr>
          <w:sz w:val="28"/>
          <w:szCs w:val="28"/>
        </w:rPr>
        <w:t>но (</w:t>
      </w:r>
      <w:proofErr w:type="spellStart"/>
      <w:r>
        <w:rPr>
          <w:sz w:val="28"/>
          <w:szCs w:val="28"/>
        </w:rPr>
        <w:t>Мильчакова</w:t>
      </w:r>
      <w:proofErr w:type="spellEnd"/>
      <w:r>
        <w:rPr>
          <w:sz w:val="28"/>
          <w:szCs w:val="28"/>
        </w:rPr>
        <w:t xml:space="preserve"> Л.М.).</w:t>
      </w:r>
    </w:p>
    <w:p w:rsidR="00D075EC" w:rsidRDefault="00193D6C">
      <w:pPr>
        <w:tabs>
          <w:tab w:val="left" w:pos="68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 со дня подписания и подлежит    обнародованию в газетах: «Бородинский вестник», «Голос времени», на официальном сайте города Бородино (www.borodino24.gosuslugi.ru), на официальном сайте Рыбинского райо</w:t>
      </w:r>
      <w:r>
        <w:rPr>
          <w:sz w:val="28"/>
          <w:szCs w:val="28"/>
        </w:rPr>
        <w:t>на (https://rybinskiy.gosuslugi.ru) в информационно-телекоммуникационной сети Интернет.</w:t>
      </w:r>
    </w:p>
    <w:p w:rsidR="00D075EC" w:rsidRDefault="00D075EC">
      <w:pPr>
        <w:tabs>
          <w:tab w:val="left" w:pos="6855"/>
        </w:tabs>
        <w:ind w:firstLine="567"/>
        <w:jc w:val="both"/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ind w:firstLine="567"/>
        <w:jc w:val="both"/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ind w:firstLine="567"/>
        <w:jc w:val="both"/>
        <w:rPr>
          <w:sz w:val="28"/>
          <w:szCs w:val="28"/>
        </w:rPr>
      </w:pPr>
    </w:p>
    <w:p w:rsidR="00D075EC" w:rsidRDefault="00193D6C" w:rsidP="00193D6C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Бородино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А.Ф. Веретенников </w:t>
      </w:r>
    </w:p>
    <w:p w:rsidR="00D075EC" w:rsidRDefault="00193D6C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0C27F950" wp14:editId="7494301A">
            <wp:simplePos x="0" y="0"/>
            <wp:positionH relativeFrom="character">
              <wp:posOffset>-1461135</wp:posOffset>
            </wp:positionH>
            <wp:positionV relativeFrom="line">
              <wp:posOffset>91440</wp:posOffset>
            </wp:positionV>
            <wp:extent cx="2717165" cy="122428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5EC" w:rsidRDefault="00D075EC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D075EC" w:rsidRDefault="00193D6C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D075EC" w:rsidRDefault="00D075EC">
      <w:pPr>
        <w:jc w:val="both"/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193D6C" w:rsidRDefault="00193D6C">
      <w:pPr>
        <w:tabs>
          <w:tab w:val="left" w:pos="6855"/>
        </w:tabs>
        <w:rPr>
          <w:sz w:val="28"/>
          <w:szCs w:val="28"/>
        </w:rPr>
      </w:pPr>
    </w:p>
    <w:p w:rsidR="00193D6C" w:rsidRDefault="00193D6C">
      <w:pPr>
        <w:tabs>
          <w:tab w:val="left" w:pos="6855"/>
        </w:tabs>
        <w:rPr>
          <w:sz w:val="28"/>
          <w:szCs w:val="28"/>
        </w:rPr>
      </w:pPr>
    </w:p>
    <w:p w:rsidR="00193D6C" w:rsidRDefault="00193D6C">
      <w:pPr>
        <w:tabs>
          <w:tab w:val="left" w:pos="6855"/>
        </w:tabs>
        <w:rPr>
          <w:sz w:val="28"/>
          <w:szCs w:val="28"/>
        </w:rPr>
      </w:pPr>
    </w:p>
    <w:p w:rsidR="00193D6C" w:rsidRDefault="00193D6C">
      <w:pPr>
        <w:tabs>
          <w:tab w:val="left" w:pos="6855"/>
        </w:tabs>
        <w:rPr>
          <w:sz w:val="28"/>
          <w:szCs w:val="28"/>
        </w:rPr>
      </w:pPr>
    </w:p>
    <w:p w:rsidR="00193D6C" w:rsidRDefault="00193D6C">
      <w:pPr>
        <w:tabs>
          <w:tab w:val="left" w:pos="6855"/>
        </w:tabs>
        <w:rPr>
          <w:sz w:val="28"/>
          <w:szCs w:val="28"/>
        </w:rPr>
      </w:pPr>
    </w:p>
    <w:p w:rsidR="00D075EC" w:rsidRDefault="00193D6C">
      <w:pPr>
        <w:tabs>
          <w:tab w:val="left" w:pos="685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Мильчакова</w:t>
      </w:r>
      <w:proofErr w:type="spellEnd"/>
      <w:r>
        <w:rPr>
          <w:sz w:val="22"/>
          <w:szCs w:val="22"/>
        </w:rPr>
        <w:t xml:space="preserve">  4-40-58</w:t>
      </w:r>
    </w:p>
    <w:p w:rsidR="00D075EC" w:rsidRDefault="00D075EC">
      <w:pPr>
        <w:tabs>
          <w:tab w:val="left" w:pos="6855"/>
        </w:tabs>
        <w:rPr>
          <w:sz w:val="28"/>
          <w:szCs w:val="28"/>
        </w:rPr>
      </w:pPr>
    </w:p>
    <w:p w:rsidR="00D075EC" w:rsidRDefault="00D075EC">
      <w:pPr>
        <w:tabs>
          <w:tab w:val="left" w:pos="6855"/>
        </w:tabs>
        <w:ind w:firstLine="5387"/>
        <w:jc w:val="both"/>
        <w:rPr>
          <w:sz w:val="28"/>
          <w:szCs w:val="28"/>
        </w:rPr>
      </w:pPr>
    </w:p>
    <w:p w:rsidR="00D075EC" w:rsidRDefault="00193D6C" w:rsidP="00193D6C">
      <w:pPr>
        <w:tabs>
          <w:tab w:val="left" w:pos="6855"/>
        </w:tabs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                            </w:t>
      </w:r>
    </w:p>
    <w:p w:rsidR="00D075EC" w:rsidRDefault="00193D6C" w:rsidP="00193D6C">
      <w:pPr>
        <w:tabs>
          <w:tab w:val="left" w:pos="5387"/>
        </w:tabs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от 11.11.2025 </w:t>
      </w:r>
      <w:r>
        <w:rPr>
          <w:sz w:val="28"/>
          <w:szCs w:val="28"/>
        </w:rPr>
        <w:t>№ 656</w:t>
      </w:r>
    </w:p>
    <w:p w:rsidR="00D075EC" w:rsidRDefault="00D075EC">
      <w:pPr>
        <w:tabs>
          <w:tab w:val="left" w:pos="5387"/>
        </w:tabs>
        <w:jc w:val="both"/>
        <w:rPr>
          <w:sz w:val="28"/>
          <w:szCs w:val="28"/>
        </w:rPr>
      </w:pPr>
    </w:p>
    <w:p w:rsidR="00D075EC" w:rsidRDefault="00D075EC">
      <w:pPr>
        <w:jc w:val="both"/>
        <w:rPr>
          <w:sz w:val="28"/>
          <w:szCs w:val="28"/>
        </w:rPr>
      </w:pP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проведению публичных слушаний по проекту решения «О бюджете Рыбинского муниципального округа Красноярского края на 2026 год и плановый период 2027-2028 годов»:</w:t>
      </w:r>
    </w:p>
    <w:p w:rsidR="00D075EC" w:rsidRDefault="00D075EC">
      <w:pPr>
        <w:ind w:firstLine="567"/>
        <w:jc w:val="both"/>
        <w:rPr>
          <w:sz w:val="28"/>
          <w:szCs w:val="28"/>
        </w:rPr>
      </w:pP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Председатель комиссии</w:t>
      </w:r>
      <w:r>
        <w:rPr>
          <w:sz w:val="28"/>
          <w:szCs w:val="28"/>
        </w:rPr>
        <w:t xml:space="preserve">: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Веретенников А.Ф. –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л</w:t>
      </w:r>
      <w:r>
        <w:rPr>
          <w:sz w:val="28"/>
          <w:szCs w:val="28"/>
        </w:rPr>
        <w:t>ава города Бородино;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Заместитель председателя комиссии</w:t>
      </w:r>
      <w:r>
        <w:rPr>
          <w:sz w:val="28"/>
          <w:szCs w:val="28"/>
        </w:rPr>
        <w:t xml:space="preserve">: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Первухин А.В.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пер</w:t>
      </w:r>
      <w:r>
        <w:rPr>
          <w:sz w:val="28"/>
          <w:szCs w:val="28"/>
        </w:rPr>
        <w:t>вый заместитель г</w:t>
      </w:r>
      <w:r>
        <w:rPr>
          <w:sz w:val="28"/>
          <w:szCs w:val="28"/>
        </w:rPr>
        <w:t xml:space="preserve">лавы города; </w:t>
      </w:r>
    </w:p>
    <w:p w:rsidR="00D075EC" w:rsidRDefault="00193D6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Секретарь комиссии: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Маркелис</w:t>
      </w:r>
      <w:proofErr w:type="spellEnd"/>
      <w:r>
        <w:rPr>
          <w:sz w:val="28"/>
          <w:szCs w:val="28"/>
        </w:rPr>
        <w:t xml:space="preserve"> Н.В. –</w:t>
      </w:r>
      <w:r>
        <w:rPr>
          <w:sz w:val="28"/>
          <w:szCs w:val="28"/>
        </w:rPr>
        <w:t xml:space="preserve"> гла</w:t>
      </w:r>
      <w:r>
        <w:rPr>
          <w:sz w:val="28"/>
          <w:szCs w:val="28"/>
        </w:rPr>
        <w:t>вный специалист по основной деятельности отдела планирования и экономического развития администрации города Бородино;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Члены </w:t>
      </w:r>
      <w:r>
        <w:rPr>
          <w:sz w:val="28"/>
          <w:szCs w:val="28"/>
          <w:u w:val="single"/>
        </w:rPr>
        <w:t>комиссии</w:t>
      </w:r>
      <w:r>
        <w:rPr>
          <w:sz w:val="28"/>
          <w:szCs w:val="28"/>
        </w:rPr>
        <w:t>: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Кириллова Н.А. –</w:t>
      </w:r>
      <w:r>
        <w:rPr>
          <w:sz w:val="28"/>
          <w:szCs w:val="28"/>
        </w:rPr>
        <w:t xml:space="preserve"> деп</w:t>
      </w:r>
      <w:r>
        <w:rPr>
          <w:sz w:val="28"/>
          <w:szCs w:val="28"/>
        </w:rPr>
        <w:t xml:space="preserve">утат Рыбинского окружного Совета депутатов, председатель постоянной комиссии по бюджету, местным налогам и сборам, муниципальной собственности и экономическим вопросам (по согласованию); 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Новикова Е.Л. –</w:t>
      </w:r>
      <w:r>
        <w:rPr>
          <w:sz w:val="28"/>
          <w:szCs w:val="28"/>
        </w:rPr>
        <w:t xml:space="preserve"> депу</w:t>
      </w:r>
      <w:r>
        <w:rPr>
          <w:sz w:val="28"/>
          <w:szCs w:val="28"/>
        </w:rPr>
        <w:t>тат Рыбинского окр</w:t>
      </w:r>
      <w:r>
        <w:rPr>
          <w:sz w:val="28"/>
          <w:szCs w:val="28"/>
        </w:rPr>
        <w:t>ужного Совета депутатов, председатель постоянной комиссии по социально-экономическому развитию округа, землепользованию и охране окружающей среды (по согласованию);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Матвеева Е.А. –</w:t>
      </w:r>
      <w:r>
        <w:rPr>
          <w:sz w:val="28"/>
          <w:szCs w:val="28"/>
        </w:rPr>
        <w:t xml:space="preserve"> де</w:t>
      </w:r>
      <w:r>
        <w:rPr>
          <w:sz w:val="28"/>
          <w:szCs w:val="28"/>
        </w:rPr>
        <w:t xml:space="preserve">путат Рыбинского окружного Совета депутатов, председатель постоянной </w:t>
      </w:r>
      <w:r>
        <w:rPr>
          <w:sz w:val="28"/>
          <w:szCs w:val="28"/>
        </w:rPr>
        <w:t>комиссии по социальным вопросам, законности, защите прав граждан и общественному порядку (по согласованию);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Исайков А.Г. –</w:t>
      </w:r>
      <w:r>
        <w:rPr>
          <w:sz w:val="28"/>
          <w:szCs w:val="28"/>
        </w:rPr>
        <w:t xml:space="preserve"> де</w:t>
      </w:r>
      <w:r>
        <w:rPr>
          <w:sz w:val="28"/>
          <w:szCs w:val="28"/>
        </w:rPr>
        <w:t>путат Рыбинского окружного Совета депутатов, председатель постоянной комиссии по промышленности, жилищно-коммунальному хозяйству, т</w:t>
      </w:r>
      <w:r>
        <w:rPr>
          <w:sz w:val="28"/>
          <w:szCs w:val="28"/>
        </w:rPr>
        <w:t>ранспорту и дорожной деятельности (по согласованию);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Самсонова С.В. –</w:t>
      </w:r>
      <w:r>
        <w:rPr>
          <w:sz w:val="28"/>
          <w:szCs w:val="28"/>
        </w:rPr>
        <w:t xml:space="preserve"> пред</w:t>
      </w:r>
      <w:r>
        <w:rPr>
          <w:sz w:val="28"/>
          <w:szCs w:val="28"/>
        </w:rPr>
        <w:t>седатель контрольно-счетного органа города Бородино (по согласованию);</w:t>
      </w:r>
    </w:p>
    <w:p w:rsidR="00D075EC" w:rsidRDefault="00193D6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Мильчакова</w:t>
      </w:r>
      <w:proofErr w:type="spellEnd"/>
      <w:r>
        <w:rPr>
          <w:sz w:val="28"/>
          <w:szCs w:val="28"/>
        </w:rPr>
        <w:t xml:space="preserve"> Л.М.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>
        <w:rPr>
          <w:sz w:val="28"/>
          <w:szCs w:val="28"/>
        </w:rPr>
        <w:t>одитель Финансового управления администрации города Бородино;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Догорова</w:t>
      </w:r>
      <w:proofErr w:type="spellEnd"/>
      <w:r>
        <w:rPr>
          <w:sz w:val="28"/>
          <w:szCs w:val="28"/>
        </w:rPr>
        <w:t xml:space="preserve"> Е.А. –</w:t>
      </w:r>
      <w:r>
        <w:rPr>
          <w:sz w:val="28"/>
          <w:szCs w:val="28"/>
        </w:rPr>
        <w:t xml:space="preserve"> начал</w:t>
      </w:r>
      <w:bookmarkStart w:id="0" w:name="_GoBack"/>
      <w:bookmarkEnd w:id="0"/>
      <w:r>
        <w:rPr>
          <w:sz w:val="28"/>
          <w:szCs w:val="28"/>
        </w:rPr>
        <w:t>ьни</w:t>
      </w:r>
      <w:r>
        <w:rPr>
          <w:sz w:val="28"/>
          <w:szCs w:val="28"/>
        </w:rPr>
        <w:t>к отдела планирования и экономического развития администрации города Бородино;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Миклина</w:t>
      </w:r>
      <w:proofErr w:type="spellEnd"/>
      <w:r>
        <w:rPr>
          <w:sz w:val="28"/>
          <w:szCs w:val="28"/>
        </w:rPr>
        <w:t xml:space="preserve"> О.В. – заместитель главы Рыбинского района по финансово-экономическим вопросам;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Попкова Н.А. – начальник отдела экономического анализа и прогнозирования Рыбинского район</w:t>
      </w:r>
      <w:r>
        <w:rPr>
          <w:sz w:val="28"/>
          <w:szCs w:val="28"/>
        </w:rPr>
        <w:t>а.</w:t>
      </w:r>
    </w:p>
    <w:p w:rsidR="00D075EC" w:rsidRDefault="00193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Риттер В.Н. – главный специалист организационно-юридического отдела Рыбинского района.</w:t>
      </w:r>
    </w:p>
    <w:p w:rsidR="00D075EC" w:rsidRDefault="00D075EC">
      <w:pPr>
        <w:ind w:firstLine="567"/>
        <w:jc w:val="both"/>
        <w:rPr>
          <w:sz w:val="28"/>
          <w:szCs w:val="28"/>
        </w:rPr>
      </w:pPr>
    </w:p>
    <w:p w:rsidR="00D075EC" w:rsidRDefault="00D075EC">
      <w:pPr>
        <w:ind w:firstLine="567"/>
        <w:jc w:val="both"/>
        <w:rPr>
          <w:sz w:val="28"/>
          <w:szCs w:val="28"/>
        </w:rPr>
      </w:pPr>
    </w:p>
    <w:p w:rsidR="00D075EC" w:rsidRDefault="00D075EC">
      <w:pPr>
        <w:tabs>
          <w:tab w:val="left" w:pos="5387"/>
        </w:tabs>
        <w:jc w:val="center"/>
        <w:rPr>
          <w:sz w:val="28"/>
          <w:szCs w:val="28"/>
        </w:rPr>
      </w:pPr>
    </w:p>
    <w:p w:rsidR="00D075EC" w:rsidRDefault="00D075EC">
      <w:pPr>
        <w:tabs>
          <w:tab w:val="left" w:pos="5387"/>
        </w:tabs>
        <w:jc w:val="center"/>
        <w:rPr>
          <w:sz w:val="28"/>
          <w:szCs w:val="28"/>
        </w:rPr>
      </w:pPr>
    </w:p>
    <w:p w:rsidR="00D075EC" w:rsidRDefault="00D075EC">
      <w:pPr>
        <w:ind w:firstLine="567"/>
        <w:jc w:val="both"/>
        <w:rPr>
          <w:sz w:val="28"/>
          <w:szCs w:val="28"/>
        </w:rPr>
      </w:pPr>
    </w:p>
    <w:p w:rsidR="00D075EC" w:rsidRDefault="00D075EC">
      <w:pPr>
        <w:ind w:firstLine="567"/>
        <w:jc w:val="both"/>
        <w:rPr>
          <w:sz w:val="28"/>
          <w:szCs w:val="28"/>
        </w:rPr>
      </w:pPr>
    </w:p>
    <w:p w:rsidR="00D075EC" w:rsidRDefault="00D075EC">
      <w:pPr>
        <w:ind w:firstLine="567"/>
        <w:jc w:val="both"/>
        <w:rPr>
          <w:sz w:val="28"/>
          <w:szCs w:val="28"/>
        </w:rPr>
      </w:pPr>
    </w:p>
    <w:p w:rsidR="00193D6C" w:rsidRDefault="00193D6C" w:rsidP="00193D6C">
      <w:pPr>
        <w:tabs>
          <w:tab w:val="left" w:pos="6855"/>
        </w:tabs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</w:t>
      </w:r>
    </w:p>
    <w:p w:rsidR="00193D6C" w:rsidRDefault="00193D6C" w:rsidP="00193D6C">
      <w:pPr>
        <w:tabs>
          <w:tab w:val="left" w:pos="5387"/>
        </w:tabs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от 11.11.2025 № 656</w:t>
      </w:r>
    </w:p>
    <w:p w:rsidR="00D075EC" w:rsidRDefault="00D075EC" w:rsidP="00193D6C">
      <w:pPr>
        <w:tabs>
          <w:tab w:val="left" w:pos="5387"/>
        </w:tabs>
        <w:jc w:val="center"/>
        <w:rPr>
          <w:sz w:val="28"/>
          <w:szCs w:val="28"/>
        </w:rPr>
      </w:pPr>
    </w:p>
    <w:p w:rsidR="00D075EC" w:rsidRDefault="00193D6C" w:rsidP="00193D6C">
      <w:pPr>
        <w:tabs>
          <w:tab w:val="left" w:pos="53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075EC" w:rsidRDefault="00193D6C" w:rsidP="00193D6C">
      <w:pPr>
        <w:tabs>
          <w:tab w:val="left" w:pos="53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</w:t>
      </w:r>
    </w:p>
    <w:p w:rsidR="00D075EC" w:rsidRDefault="00193D6C" w:rsidP="00193D6C">
      <w:pPr>
        <w:tabs>
          <w:tab w:val="left" w:pos="53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бюджете Рыбинского муниципального округа Красноярского края </w:t>
      </w:r>
    </w:p>
    <w:p w:rsidR="00D075EC" w:rsidRDefault="00193D6C" w:rsidP="00193D6C">
      <w:pPr>
        <w:tabs>
          <w:tab w:val="left" w:pos="53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2026 год и плановый период 2027-2028 годов»</w:t>
      </w:r>
    </w:p>
    <w:p w:rsidR="00D075EC" w:rsidRDefault="00D075EC" w:rsidP="00193D6C">
      <w:pPr>
        <w:tabs>
          <w:tab w:val="left" w:pos="5387"/>
        </w:tabs>
        <w:jc w:val="center"/>
        <w:rPr>
          <w:sz w:val="28"/>
          <w:szCs w:val="28"/>
        </w:rPr>
      </w:pPr>
    </w:p>
    <w:p w:rsidR="00D075EC" w:rsidRDefault="00193D6C" w:rsidP="00193D6C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Население Рыбинского муниципального округа Красноярского края с момента обнародования проекта решения «О бюджете Рыбинского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округ</w:t>
      </w:r>
      <w:r>
        <w:rPr>
          <w:rFonts w:ascii="Times New Roman" w:hAnsi="Times New Roman" w:cs="Times New Roman"/>
          <w:sz w:val="28"/>
          <w:szCs w:val="28"/>
        </w:rPr>
        <w:t>а Красноярского края на 2026 год и плановый период 2027-2028 годов» до проведения публичных слушаний вправе вносить свои письменные предложения и замечания по проекту муниципального правового акта или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просу, вынесенному на публичные слушания (далее – пре</w:t>
      </w:r>
      <w:r>
        <w:rPr>
          <w:rFonts w:ascii="Times New Roman" w:hAnsi="Times New Roman" w:cs="Times New Roman"/>
          <w:sz w:val="28"/>
          <w:szCs w:val="28"/>
        </w:rPr>
        <w:t>дложения) в проект указанного решения в соответствии с Положением об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публичных  слушаний в </w:t>
      </w:r>
      <w:r>
        <w:rPr>
          <w:rFonts w:ascii="Times New Roman" w:hAnsi="Times New Roman" w:cs="Times New Roman"/>
          <w:iCs/>
          <w:sz w:val="28"/>
          <w:szCs w:val="28"/>
        </w:rPr>
        <w:t>Рыбинском муниципальном округе Красноярского края</w:t>
      </w:r>
      <w:r>
        <w:rPr>
          <w:rFonts w:ascii="Times New Roman" w:hAnsi="Times New Roman" w:cs="Times New Roman"/>
          <w:sz w:val="28"/>
          <w:szCs w:val="28"/>
        </w:rPr>
        <w:t>, утвержденным решением Рыбинского  окружного  Совета депутатов  от 06.10.2025  № 1-7р. П</w:t>
      </w:r>
      <w:r>
        <w:rPr>
          <w:rFonts w:ascii="Times New Roman" w:hAnsi="Times New Roman" w:cs="Times New Roman"/>
          <w:sz w:val="28"/>
          <w:szCs w:val="28"/>
        </w:rPr>
        <w:t xml:space="preserve">редложения вносятся в письменном виде лично, либо направляются по почте. </w:t>
      </w:r>
    </w:p>
    <w:p w:rsidR="00D075EC" w:rsidRDefault="00193D6C" w:rsidP="00193D6C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населения по проекту решения «О бюджете Рыбинск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муниципального округа Красноярского края на 2026 год и плановый период 2027-2028 годов» вносятся в комиссию по адресу: </w:t>
      </w:r>
      <w:r>
        <w:rPr>
          <w:rFonts w:ascii="Times New Roman" w:hAnsi="Times New Roman" w:cs="Times New Roman"/>
          <w:sz w:val="28"/>
          <w:szCs w:val="28"/>
        </w:rPr>
        <w:t xml:space="preserve">г. Бородино, ул. Горького, д. 6, Финансовое управление администрации города Бородино, электронный адрес bgfo-bud.rf45@yandex.ru </w:t>
      </w:r>
    </w:p>
    <w:p w:rsidR="00D075EC" w:rsidRDefault="00193D6C" w:rsidP="00193D6C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выражаются в форме предложений или мнений по предмету публичных слушаний с указанием их обоснования. Содержание пис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менных предложений не должно противоречить законодательству Российской Федерации и должно соответствовать предмету публичных слушаний.</w:t>
      </w:r>
    </w:p>
    <w:p w:rsidR="00D075EC" w:rsidRDefault="00193D6C" w:rsidP="00193D6C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должно содержать: фамилию, имя, отчество, дату ро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дения, адрес места жительства, контактный телефон (при нал</w:t>
      </w:r>
      <w:r>
        <w:rPr>
          <w:rFonts w:ascii="Times New Roman" w:hAnsi="Times New Roman" w:cs="Times New Roman"/>
          <w:sz w:val="28"/>
          <w:szCs w:val="28"/>
        </w:rPr>
        <w:t>ичии), дату подп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сания и личную подпись гражданина или граждан, внесших предложения. При направлении коллективных предложений также необходимо указать фамилию, имя, отчество, дату рождения, адрес места жительства, контактный телефон (при наличии) лица, кот</w:t>
      </w:r>
      <w:r>
        <w:rPr>
          <w:rFonts w:ascii="Times New Roman" w:hAnsi="Times New Roman" w:cs="Times New Roman"/>
          <w:sz w:val="28"/>
          <w:szCs w:val="28"/>
        </w:rPr>
        <w:t xml:space="preserve">орый представляет данные предложения от коллектива. </w:t>
      </w:r>
    </w:p>
    <w:p w:rsidR="00D075EC" w:rsidRDefault="00193D6C" w:rsidP="00193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направлении письменного предложения посредством официального сайта личная подпись гражданина, лица, который представляет данные предложения от коллектива, не требуется.</w:t>
      </w:r>
    </w:p>
    <w:p w:rsidR="00D075EC" w:rsidRDefault="00193D6C" w:rsidP="00193D6C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Предложения, поступивш</w:t>
      </w:r>
      <w:r>
        <w:rPr>
          <w:rFonts w:ascii="Times New Roman" w:hAnsi="Times New Roman" w:cs="Times New Roman"/>
          <w:sz w:val="28"/>
          <w:szCs w:val="28"/>
        </w:rPr>
        <w:t>ие в комиссию по вопросу, вынесенному на публичные слушания, подлежат регистрации.</w:t>
      </w:r>
    </w:p>
    <w:p w:rsidR="00D075EC" w:rsidRDefault="00193D6C" w:rsidP="00193D6C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подлежат рассмотрению комиссией в случае, если они получены в срок до последнего рабочего дня, предшествующего дню проведения открытого заседания. Если же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получены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истечение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данного срока, они не подлежат рассмотрению, о чем уведомляется лицо, внесшее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занные предложения.</w:t>
      </w:r>
    </w:p>
    <w:p w:rsidR="00D075EC" w:rsidRDefault="00193D6C" w:rsidP="00193D6C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предложения по проекту решения рассматриваются комиссией, анализируются и обобщаются.</w:t>
      </w:r>
    </w:p>
    <w:p w:rsidR="00D075EC" w:rsidRDefault="00D075EC" w:rsidP="00193D6C">
      <w:pPr>
        <w:tabs>
          <w:tab w:val="left" w:pos="5387"/>
        </w:tabs>
        <w:ind w:firstLine="851"/>
        <w:jc w:val="both"/>
        <w:rPr>
          <w:sz w:val="28"/>
          <w:szCs w:val="28"/>
        </w:rPr>
      </w:pPr>
    </w:p>
    <w:p w:rsidR="00D075EC" w:rsidRDefault="00D075EC" w:rsidP="00193D6C">
      <w:pPr>
        <w:ind w:firstLine="567"/>
        <w:jc w:val="both"/>
        <w:rPr>
          <w:sz w:val="28"/>
          <w:szCs w:val="28"/>
        </w:rPr>
      </w:pPr>
    </w:p>
    <w:p w:rsidR="00D075EC" w:rsidRDefault="00D075EC" w:rsidP="00193D6C">
      <w:pPr>
        <w:tabs>
          <w:tab w:val="left" w:pos="6855"/>
        </w:tabs>
        <w:ind w:firstLine="567"/>
        <w:jc w:val="both"/>
        <w:rPr>
          <w:b/>
          <w:bCs/>
          <w:sz w:val="28"/>
          <w:szCs w:val="28"/>
        </w:rPr>
      </w:pPr>
    </w:p>
    <w:sectPr w:rsidR="00D075EC">
      <w:pgSz w:w="11906" w:h="16838"/>
      <w:pgMar w:top="851" w:right="850" w:bottom="709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16CE"/>
    <w:multiLevelType w:val="multilevel"/>
    <w:tmpl w:val="347E2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223AC0"/>
    <w:multiLevelType w:val="multilevel"/>
    <w:tmpl w:val="32F8B3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C"/>
    <w:rsid w:val="00193D6C"/>
    <w:rsid w:val="00D0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7"/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7C7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D27C7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5">
    <w:name w:val="Balloon Text"/>
    <w:basedOn w:val="a"/>
    <w:link w:val="a4"/>
    <w:uiPriority w:val="99"/>
    <w:semiHidden/>
    <w:unhideWhenUsed/>
    <w:qFormat/>
    <w:rsid w:val="00AD27C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D27C7"/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E3487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AD2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7"/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7C7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D27C7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5">
    <w:name w:val="Balloon Text"/>
    <w:basedOn w:val="a"/>
    <w:link w:val="a4"/>
    <w:uiPriority w:val="99"/>
    <w:semiHidden/>
    <w:unhideWhenUsed/>
    <w:qFormat/>
    <w:rsid w:val="00AD27C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D27C7"/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E3487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AD2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fo-bud.rf45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2023-01-18T09:29:00Z</cp:lastPrinted>
  <dcterms:created xsi:type="dcterms:W3CDTF">2025-11-11T04:15:00Z</dcterms:created>
  <dcterms:modified xsi:type="dcterms:W3CDTF">2025-11-11T04:15:00Z</dcterms:modified>
  <dc:language>ru-RU</dc:language>
</cp:coreProperties>
</file>